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56FCA" w14:textId="3A0F7869" w:rsidR="00E82B51" w:rsidRPr="00E82B51" w:rsidRDefault="00E82B51" w:rsidP="00E82B51">
      <w:pPr>
        <w:tabs>
          <w:tab w:val="left" w:pos="426"/>
        </w:tabs>
        <w:jc w:val="center"/>
        <w:rPr>
          <w:rFonts w:ascii="ＭＳ 明朝" w:eastAsia="ＭＳ 明朝" w:hAnsi="ＭＳ 明朝" w:hint="eastAsia"/>
          <w:sz w:val="28"/>
          <w:szCs w:val="32"/>
        </w:rPr>
      </w:pPr>
      <w:r w:rsidRPr="00E82B51">
        <w:rPr>
          <w:rFonts w:ascii="ＭＳ 明朝" w:eastAsia="ＭＳ 明朝" w:hAnsi="ＭＳ 明朝" w:hint="eastAsia"/>
          <w:sz w:val="28"/>
          <w:szCs w:val="32"/>
        </w:rPr>
        <w:t>１</w:t>
      </w:r>
      <w:r>
        <w:rPr>
          <w:rFonts w:ascii="ＭＳ 明朝" w:eastAsia="ＭＳ 明朝" w:hAnsi="ＭＳ 明朝" w:hint="eastAsia"/>
          <w:sz w:val="28"/>
          <w:szCs w:val="32"/>
        </w:rPr>
        <w:t xml:space="preserve">　</w:t>
      </w:r>
      <w:r w:rsidRPr="00E82B51">
        <w:rPr>
          <w:rFonts w:ascii="ＭＳ 明朝" w:eastAsia="ＭＳ 明朝" w:hAnsi="ＭＳ 明朝" w:hint="eastAsia"/>
          <w:sz w:val="28"/>
          <w:szCs w:val="32"/>
        </w:rPr>
        <w:t>入札心得</w:t>
      </w:r>
    </w:p>
    <w:p w14:paraId="1A118AE9" w14:textId="7ED74B6C" w:rsidR="00E82B51" w:rsidRPr="00E82B51" w:rsidRDefault="00E82B51" w:rsidP="00AE0B30">
      <w:pPr>
        <w:tabs>
          <w:tab w:val="left" w:pos="426"/>
        </w:tabs>
        <w:spacing w:line="340" w:lineRule="exact"/>
        <w:rPr>
          <w:rFonts w:ascii="ＭＳ 明朝" w:eastAsia="ＭＳ 明朝" w:hAnsi="ＭＳ 明朝"/>
        </w:rPr>
      </w:pPr>
      <w:r w:rsidRPr="00E82B51">
        <w:t>(</w:t>
      </w:r>
      <w:r w:rsidRPr="00E82B51">
        <w:rPr>
          <w:rFonts w:ascii="ＭＳ 明朝" w:eastAsia="ＭＳ 明朝" w:hAnsi="ＭＳ 明朝"/>
        </w:rPr>
        <w:t>1)</w:t>
      </w:r>
      <w:r w:rsidRPr="00E82B51">
        <w:rPr>
          <w:rFonts w:ascii="ＭＳ 明朝" w:eastAsia="ＭＳ 明朝" w:hAnsi="ＭＳ 明朝"/>
        </w:rPr>
        <w:tab/>
      </w:r>
      <w:r w:rsidRPr="00E82B51">
        <w:rPr>
          <w:rFonts w:ascii="ＭＳ 明朝" w:eastAsia="ＭＳ 明朝" w:hAnsi="ＭＳ 明朝" w:hint="eastAsia"/>
        </w:rPr>
        <w:t>入札参加者は、仕様書等を熟知のうえ、入札しなければなりません。</w:t>
      </w:r>
    </w:p>
    <w:p w14:paraId="71EE6397" w14:textId="563FDA61"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(2)</w:t>
      </w:r>
      <w:r w:rsidRPr="00E82B51">
        <w:rPr>
          <w:rFonts w:ascii="ＭＳ 明朝" w:eastAsia="ＭＳ 明朝" w:hAnsi="ＭＳ 明朝"/>
        </w:rPr>
        <w:tab/>
      </w:r>
      <w:r w:rsidRPr="00E82B51">
        <w:rPr>
          <w:rFonts w:ascii="ＭＳ 明朝" w:eastAsia="ＭＳ 明朝" w:hAnsi="ＭＳ 明朝" w:hint="eastAsia"/>
        </w:rPr>
        <w:t>入札書、委任状は、所定の書式を使用しなければなりません。</w:t>
      </w:r>
    </w:p>
    <w:p w14:paraId="0D6094DB" w14:textId="6AA9A230"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(3)</w:t>
      </w:r>
      <w:r w:rsidRPr="00E82B51">
        <w:rPr>
          <w:rFonts w:ascii="ＭＳ 明朝" w:eastAsia="ＭＳ 明朝" w:hAnsi="ＭＳ 明朝"/>
        </w:rPr>
        <w:tab/>
      </w:r>
      <w:r w:rsidRPr="00E82B51">
        <w:rPr>
          <w:rFonts w:ascii="ＭＳ 明朝" w:eastAsia="ＭＳ 明朝" w:hAnsi="ＭＳ 明朝" w:hint="eastAsia"/>
        </w:rPr>
        <w:t>代理人が入札に参加するときは、入札前に委任状を提出しなければなりません。</w:t>
      </w:r>
    </w:p>
    <w:p w14:paraId="4D3B5E3D" w14:textId="08BFFB4F"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ab/>
      </w:r>
      <w:r w:rsidRPr="00E82B51">
        <w:rPr>
          <w:rFonts w:ascii="ＭＳ 明朝" w:eastAsia="ＭＳ 明朝" w:hAnsi="ＭＳ 明朝" w:hint="eastAsia"/>
        </w:rPr>
        <w:t>委任状のない入札は、無効となります。</w:t>
      </w:r>
    </w:p>
    <w:p w14:paraId="799B2B57" w14:textId="69156959" w:rsidR="00E82B51" w:rsidRPr="00E82B51" w:rsidRDefault="00E82B51" w:rsidP="00AE0B30">
      <w:pPr>
        <w:tabs>
          <w:tab w:val="left" w:pos="426"/>
        </w:tabs>
        <w:spacing w:line="340" w:lineRule="exact"/>
        <w:ind w:left="283" w:hangingChars="135" w:hanging="283"/>
        <w:rPr>
          <w:rFonts w:ascii="ＭＳ 明朝" w:eastAsia="ＭＳ 明朝" w:hAnsi="ＭＳ 明朝"/>
        </w:rPr>
      </w:pPr>
      <w:r w:rsidRPr="00E82B51">
        <w:rPr>
          <w:rFonts w:ascii="ＭＳ 明朝" w:eastAsia="ＭＳ 明朝" w:hAnsi="ＭＳ 明朝"/>
        </w:rPr>
        <w:tab/>
      </w:r>
      <w:r w:rsidRPr="00E82B51">
        <w:rPr>
          <w:rFonts w:ascii="ＭＳ 明朝" w:eastAsia="ＭＳ 明朝" w:hAnsi="ＭＳ 明朝"/>
        </w:rPr>
        <w:tab/>
      </w:r>
      <w:r w:rsidRPr="00E82B51">
        <w:rPr>
          <w:rFonts w:ascii="ＭＳ 明朝" w:eastAsia="ＭＳ 明朝" w:hAnsi="ＭＳ 明朝" w:hint="eastAsia"/>
        </w:rPr>
        <w:t>委任状には、</w:t>
      </w:r>
      <w:r w:rsidR="00B16E56">
        <w:rPr>
          <w:rFonts w:ascii="ＭＳ 明朝" w:eastAsia="ＭＳ 明朝" w:hAnsi="ＭＳ 明朝" w:hint="eastAsia"/>
        </w:rPr>
        <w:t>那覇市建設工事競争入札参加資格申請時の使用印鑑届出印と</w:t>
      </w:r>
      <w:r w:rsidRPr="00E82B51">
        <w:rPr>
          <w:rFonts w:ascii="ＭＳ 明朝" w:eastAsia="ＭＳ 明朝" w:hAnsi="ＭＳ 明朝" w:hint="eastAsia"/>
        </w:rPr>
        <w:t>代理人の印を押印し、入札書には、委任状に押印した代理人の印と同一の印を押印しなければなりません。</w:t>
      </w:r>
    </w:p>
    <w:p w14:paraId="6D2C5A28" w14:textId="3C14FF8D" w:rsidR="00E82B51" w:rsidRPr="00E82B51" w:rsidRDefault="00E82B51" w:rsidP="00AE0B30">
      <w:pPr>
        <w:tabs>
          <w:tab w:val="left" w:pos="426"/>
        </w:tabs>
        <w:spacing w:line="340" w:lineRule="exact"/>
        <w:ind w:left="298" w:hangingChars="142" w:hanging="298"/>
        <w:rPr>
          <w:rFonts w:ascii="ＭＳ 明朝" w:eastAsia="ＭＳ 明朝" w:hAnsi="ＭＳ 明朝"/>
        </w:rPr>
      </w:pPr>
      <w:r w:rsidRPr="00E82B51">
        <w:rPr>
          <w:rFonts w:ascii="ＭＳ 明朝" w:eastAsia="ＭＳ 明朝" w:hAnsi="ＭＳ 明朝"/>
        </w:rPr>
        <w:t>(4)</w:t>
      </w:r>
      <w:r w:rsidRPr="00E82B51">
        <w:rPr>
          <w:rFonts w:ascii="ＭＳ 明朝" w:eastAsia="ＭＳ 明朝" w:hAnsi="ＭＳ 明朝"/>
        </w:rPr>
        <w:tab/>
      </w:r>
      <w:r w:rsidRPr="00E82B51">
        <w:rPr>
          <w:rFonts w:ascii="ＭＳ 明朝" w:eastAsia="ＭＳ 明朝" w:hAnsi="ＭＳ 明朝" w:hint="eastAsia"/>
        </w:rPr>
        <w:t>入札参加者、又は入札参加者の代理人は、当該入札について他の入札参加者の代理をすることはできません。</w:t>
      </w:r>
    </w:p>
    <w:p w14:paraId="5D0B2502" w14:textId="18B17F6E"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(5)</w:t>
      </w:r>
      <w:r>
        <w:rPr>
          <w:rFonts w:ascii="ＭＳ 明朝" w:eastAsia="ＭＳ 明朝" w:hAnsi="ＭＳ 明朝"/>
        </w:rPr>
        <w:tab/>
      </w:r>
      <w:r w:rsidRPr="00E82B51">
        <w:rPr>
          <w:rFonts w:ascii="ＭＳ 明朝" w:eastAsia="ＭＳ 明朝" w:hAnsi="ＭＳ 明朝" w:hint="eastAsia"/>
        </w:rPr>
        <w:t>入札者は、その提出した入札書の書換え、引換え又は撤回をすることができません。</w:t>
      </w:r>
    </w:p>
    <w:p w14:paraId="47B7EF2A" w14:textId="6C724D90" w:rsidR="00E82B51" w:rsidRPr="00E82B51" w:rsidRDefault="00E82B51" w:rsidP="00AE0B30">
      <w:pPr>
        <w:tabs>
          <w:tab w:val="left" w:pos="426"/>
        </w:tabs>
        <w:spacing w:line="340" w:lineRule="exact"/>
        <w:ind w:left="283" w:hangingChars="135" w:hanging="283"/>
        <w:rPr>
          <w:rFonts w:ascii="ＭＳ 明朝" w:eastAsia="ＭＳ 明朝" w:hAnsi="ＭＳ 明朝"/>
        </w:rPr>
      </w:pPr>
      <w:r w:rsidRPr="00E82B51">
        <w:rPr>
          <w:rFonts w:ascii="ＭＳ 明朝" w:eastAsia="ＭＳ 明朝" w:hAnsi="ＭＳ 明朝"/>
        </w:rPr>
        <w:t>(6)</w:t>
      </w:r>
      <w:r>
        <w:rPr>
          <w:rFonts w:ascii="ＭＳ 明朝" w:eastAsia="ＭＳ 明朝" w:hAnsi="ＭＳ 明朝"/>
        </w:rPr>
        <w:tab/>
      </w:r>
      <w:r w:rsidRPr="00E82B51">
        <w:rPr>
          <w:rFonts w:ascii="ＭＳ 明朝" w:eastAsia="ＭＳ 明朝" w:hAnsi="ＭＳ 明朝" w:hint="eastAsia"/>
        </w:rPr>
        <w:t>入札参加者は、私的独占の禁止及び公正取引の確保に関する法律（昭和２２年法律第５４号）等に抵触する行為を行ってはなりません。</w:t>
      </w:r>
    </w:p>
    <w:p w14:paraId="33CE0F5A" w14:textId="78168CC3"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(7)</w:t>
      </w:r>
      <w:r>
        <w:rPr>
          <w:rFonts w:ascii="ＭＳ 明朝" w:eastAsia="ＭＳ 明朝" w:hAnsi="ＭＳ 明朝"/>
        </w:rPr>
        <w:tab/>
      </w:r>
      <w:r w:rsidRPr="00E82B51">
        <w:rPr>
          <w:rFonts w:ascii="ＭＳ 明朝" w:eastAsia="ＭＳ 明朝" w:hAnsi="ＭＳ 明朝" w:hint="eastAsia"/>
        </w:rPr>
        <w:t>郵便による入札は、これを認めません。</w:t>
      </w:r>
    </w:p>
    <w:p w14:paraId="5845819E" w14:textId="142313FF" w:rsidR="00E82B51" w:rsidRPr="00E82B51" w:rsidRDefault="00E82B51" w:rsidP="00AE0B30">
      <w:pPr>
        <w:tabs>
          <w:tab w:val="left" w:pos="426"/>
        </w:tabs>
        <w:spacing w:line="340" w:lineRule="exact"/>
        <w:ind w:left="283" w:hangingChars="135" w:hanging="283"/>
        <w:rPr>
          <w:rFonts w:ascii="ＭＳ 明朝" w:eastAsia="ＭＳ 明朝" w:hAnsi="ＭＳ 明朝"/>
        </w:rPr>
      </w:pPr>
      <w:r w:rsidRPr="00E82B51">
        <w:rPr>
          <w:rFonts w:ascii="ＭＳ 明朝" w:eastAsia="ＭＳ 明朝" w:hAnsi="ＭＳ 明朝"/>
        </w:rPr>
        <w:t>(8)</w:t>
      </w:r>
      <w:r>
        <w:rPr>
          <w:rFonts w:ascii="ＭＳ 明朝" w:eastAsia="ＭＳ 明朝" w:hAnsi="ＭＳ 明朝"/>
        </w:rPr>
        <w:tab/>
      </w:r>
      <w:r w:rsidRPr="00E82B51">
        <w:rPr>
          <w:rFonts w:ascii="ＭＳ 明朝" w:eastAsia="ＭＳ 明朝" w:hAnsi="ＭＳ 明朝" w:hint="eastAsia"/>
        </w:rPr>
        <w:t>入札参加者が、所定の時刻に遅れたときは、入札を認めない。ただし、他の入札参加者の投入が始まるまでの間は、この限りではありません。</w:t>
      </w:r>
    </w:p>
    <w:p w14:paraId="42651320" w14:textId="3E513C9E"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(9)</w:t>
      </w:r>
      <w:r>
        <w:rPr>
          <w:rFonts w:ascii="ＭＳ 明朝" w:eastAsia="ＭＳ 明朝" w:hAnsi="ＭＳ 明朝"/>
        </w:rPr>
        <w:tab/>
      </w:r>
      <w:r w:rsidRPr="00E82B51">
        <w:rPr>
          <w:rFonts w:ascii="ＭＳ 明朝" w:eastAsia="ＭＳ 明朝" w:hAnsi="ＭＳ 明朝" w:hint="eastAsia"/>
        </w:rPr>
        <w:t>入札執行回数は、３回までとします。</w:t>
      </w:r>
    </w:p>
    <w:p w14:paraId="0B4A760C" w14:textId="7C0A814E" w:rsidR="00E82B51" w:rsidRPr="00E82B51" w:rsidRDefault="00E82B51" w:rsidP="00E82B51">
      <w:pPr>
        <w:tabs>
          <w:tab w:val="left" w:pos="426"/>
        </w:tabs>
        <w:jc w:val="center"/>
        <w:rPr>
          <w:rFonts w:ascii="ＭＳ 明朝" w:eastAsia="ＭＳ 明朝" w:hAnsi="ＭＳ 明朝" w:hint="eastAsia"/>
          <w:sz w:val="28"/>
          <w:szCs w:val="32"/>
        </w:rPr>
      </w:pPr>
      <w:bookmarkStart w:id="0" w:name="_Hlk222224990"/>
      <w:r>
        <w:rPr>
          <w:rFonts w:ascii="ＭＳ 明朝" w:eastAsia="ＭＳ 明朝" w:hAnsi="ＭＳ 明朝" w:hint="eastAsia"/>
          <w:sz w:val="28"/>
          <w:szCs w:val="32"/>
        </w:rPr>
        <w:t>２　無効の入札</w:t>
      </w:r>
    </w:p>
    <w:bookmarkEnd w:id="0"/>
    <w:p w14:paraId="7E84EA96" w14:textId="2190AD30"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(1)</w:t>
      </w:r>
      <w:r>
        <w:rPr>
          <w:rFonts w:ascii="ＭＳ 明朝" w:eastAsia="ＭＳ 明朝" w:hAnsi="ＭＳ 明朝"/>
        </w:rPr>
        <w:tab/>
      </w:r>
      <w:r w:rsidRPr="00E82B51">
        <w:rPr>
          <w:rFonts w:ascii="ＭＳ 明朝" w:eastAsia="ＭＳ 明朝" w:hAnsi="ＭＳ 明朝" w:hint="eastAsia"/>
        </w:rPr>
        <w:t>入札に参加する資格を有しない者のした入札</w:t>
      </w:r>
    </w:p>
    <w:p w14:paraId="4713D81F" w14:textId="27322CA7"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(2)</w:t>
      </w:r>
      <w:r>
        <w:rPr>
          <w:rFonts w:ascii="ＭＳ 明朝" w:eastAsia="ＭＳ 明朝" w:hAnsi="ＭＳ 明朝"/>
        </w:rPr>
        <w:tab/>
      </w:r>
      <w:r w:rsidRPr="00E82B51">
        <w:rPr>
          <w:rFonts w:ascii="ＭＳ 明朝" w:eastAsia="ＭＳ 明朝" w:hAnsi="ＭＳ 明朝" w:hint="eastAsia"/>
        </w:rPr>
        <w:t>委任状を持参しない代理人のした入札</w:t>
      </w:r>
    </w:p>
    <w:p w14:paraId="23C5EF7A" w14:textId="4AE7BFA9"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(3)</w:t>
      </w:r>
      <w:r>
        <w:rPr>
          <w:rFonts w:ascii="ＭＳ 明朝" w:eastAsia="ＭＳ 明朝" w:hAnsi="ＭＳ 明朝"/>
        </w:rPr>
        <w:tab/>
      </w:r>
      <w:r w:rsidRPr="00E82B51">
        <w:rPr>
          <w:rFonts w:ascii="ＭＳ 明朝" w:eastAsia="ＭＳ 明朝" w:hAnsi="ＭＳ 明朝" w:hint="eastAsia"/>
        </w:rPr>
        <w:t>入札書の日付が、入札の年、月、日と合わない入札</w:t>
      </w:r>
    </w:p>
    <w:p w14:paraId="19AF4115" w14:textId="37B08AB1"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(4)</w:t>
      </w:r>
      <w:r>
        <w:rPr>
          <w:rFonts w:ascii="ＭＳ 明朝" w:eastAsia="ＭＳ 明朝" w:hAnsi="ＭＳ 明朝"/>
        </w:rPr>
        <w:tab/>
      </w:r>
      <w:r w:rsidRPr="00E82B51">
        <w:rPr>
          <w:rFonts w:ascii="ＭＳ 明朝" w:eastAsia="ＭＳ 明朝" w:hAnsi="ＭＳ 明朝" w:hint="eastAsia"/>
        </w:rPr>
        <w:t>入札書に記名押印（代表者印は使用印鑑届に押印した「使用印鑑」、代理人印は認印可）を欠く入札</w:t>
      </w:r>
    </w:p>
    <w:p w14:paraId="59575C2F" w14:textId="02BEC97F"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(5)</w:t>
      </w:r>
      <w:r>
        <w:rPr>
          <w:rFonts w:ascii="ＭＳ 明朝" w:eastAsia="ＭＳ 明朝" w:hAnsi="ＭＳ 明朝"/>
        </w:rPr>
        <w:tab/>
      </w:r>
      <w:r w:rsidRPr="00E82B51">
        <w:rPr>
          <w:rFonts w:ascii="ＭＳ 明朝" w:eastAsia="ＭＳ 明朝" w:hAnsi="ＭＳ 明朝" w:hint="eastAsia"/>
        </w:rPr>
        <w:t>入札書の表記金額を訂正した入札</w:t>
      </w:r>
      <w:r w:rsidR="00AA69E1">
        <w:rPr>
          <w:rFonts w:ascii="ＭＳ 明朝" w:eastAsia="ＭＳ 明朝" w:hAnsi="ＭＳ 明朝" w:hint="eastAsia"/>
        </w:rPr>
        <w:t>、又は￥マークの記載がない入札</w:t>
      </w:r>
    </w:p>
    <w:p w14:paraId="0778509E" w14:textId="4BCC8CFD" w:rsidR="00E82B51" w:rsidRPr="00E82B51" w:rsidRDefault="00E82B51" w:rsidP="00AE0B30">
      <w:pPr>
        <w:tabs>
          <w:tab w:val="left" w:pos="426"/>
        </w:tabs>
        <w:spacing w:line="340" w:lineRule="exact"/>
        <w:rPr>
          <w:rFonts w:ascii="ＭＳ 明朝" w:eastAsia="ＭＳ 明朝" w:hAnsi="ＭＳ 明朝"/>
        </w:rPr>
      </w:pPr>
      <w:r>
        <w:rPr>
          <w:rFonts w:ascii="ＭＳ 明朝" w:eastAsia="ＭＳ 明朝" w:hAnsi="ＭＳ 明朝"/>
        </w:rPr>
        <w:tab/>
      </w:r>
      <w:r w:rsidRPr="00E82B51">
        <w:rPr>
          <w:rFonts w:ascii="ＭＳ 明朝" w:eastAsia="ＭＳ 明朝" w:hAnsi="ＭＳ 明朝" w:hint="eastAsia"/>
        </w:rPr>
        <w:t>※入札金額の記載を誤った場合は、新たな用紙に記載すること。</w:t>
      </w:r>
    </w:p>
    <w:p w14:paraId="2DB97333" w14:textId="0149B0D6" w:rsidR="00E82B51" w:rsidRPr="00E82B51" w:rsidRDefault="00E82B51" w:rsidP="00AE0B30">
      <w:pPr>
        <w:tabs>
          <w:tab w:val="left" w:pos="426"/>
        </w:tabs>
        <w:spacing w:line="340" w:lineRule="exact"/>
        <w:ind w:left="424" w:hangingChars="202" w:hanging="424"/>
        <w:rPr>
          <w:rFonts w:ascii="ＭＳ 明朝" w:eastAsia="ＭＳ 明朝" w:hAnsi="ＭＳ 明朝"/>
        </w:rPr>
      </w:pPr>
      <w:r>
        <w:rPr>
          <w:rFonts w:ascii="ＭＳ 明朝" w:eastAsia="ＭＳ 明朝" w:hAnsi="ＭＳ 明朝"/>
        </w:rPr>
        <w:tab/>
      </w:r>
      <w:r w:rsidRPr="00E82B51">
        <w:rPr>
          <w:rFonts w:ascii="ＭＳ 明朝" w:eastAsia="ＭＳ 明朝" w:hAnsi="ＭＳ 明朝" w:hint="eastAsia"/>
        </w:rPr>
        <w:t>※入札金額以外の事項について記載を誤った場合は、二重線にて訂正部分を消し、訂正のうえ届出印または代理人の印を押すこと。（砂消しゴム、修正液等は使用しないこと）</w:t>
      </w:r>
    </w:p>
    <w:p w14:paraId="166A5F5D" w14:textId="55EA0CE3"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(6)</w:t>
      </w:r>
      <w:r w:rsidR="00AE0B30">
        <w:rPr>
          <w:rFonts w:ascii="ＭＳ 明朝" w:eastAsia="ＭＳ 明朝" w:hAnsi="ＭＳ 明朝"/>
        </w:rPr>
        <w:tab/>
      </w:r>
      <w:r w:rsidRPr="00E82B51">
        <w:rPr>
          <w:rFonts w:ascii="ＭＳ 明朝" w:eastAsia="ＭＳ 明朝" w:hAnsi="ＭＳ 明朝" w:hint="eastAsia"/>
        </w:rPr>
        <w:t>誤字、脱字等により意思表示が不明瞭である入札</w:t>
      </w:r>
    </w:p>
    <w:p w14:paraId="6A9DAA02" w14:textId="4AF2D8F0"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(7)</w:t>
      </w:r>
      <w:r w:rsidR="00AE0B30">
        <w:rPr>
          <w:rFonts w:ascii="ＭＳ 明朝" w:eastAsia="ＭＳ 明朝" w:hAnsi="ＭＳ 明朝"/>
        </w:rPr>
        <w:tab/>
      </w:r>
      <w:r w:rsidRPr="00E82B51">
        <w:rPr>
          <w:rFonts w:ascii="ＭＳ 明朝" w:eastAsia="ＭＳ 明朝" w:hAnsi="ＭＳ 明朝" w:hint="eastAsia"/>
        </w:rPr>
        <w:t>明らかに談合によると認められる入札</w:t>
      </w:r>
    </w:p>
    <w:p w14:paraId="5A8852E8" w14:textId="37FCC593"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(8)</w:t>
      </w:r>
      <w:r w:rsidR="00AE0B30">
        <w:rPr>
          <w:rFonts w:ascii="ＭＳ 明朝" w:eastAsia="ＭＳ 明朝" w:hAnsi="ＭＳ 明朝"/>
        </w:rPr>
        <w:tab/>
      </w:r>
      <w:r w:rsidRPr="00E82B51">
        <w:rPr>
          <w:rFonts w:ascii="ＭＳ 明朝" w:eastAsia="ＭＳ 明朝" w:hAnsi="ＭＳ 明朝" w:hint="eastAsia"/>
        </w:rPr>
        <w:t>同一の入札について、他の代理人を兼ね、又は、２人以上の代理をした者の入札</w:t>
      </w:r>
    </w:p>
    <w:p w14:paraId="78079507" w14:textId="773464D3"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(9)</w:t>
      </w:r>
      <w:r w:rsidR="00AE0B30">
        <w:rPr>
          <w:rFonts w:ascii="ＭＳ 明朝" w:eastAsia="ＭＳ 明朝" w:hAnsi="ＭＳ 明朝"/>
        </w:rPr>
        <w:tab/>
      </w:r>
      <w:r w:rsidRPr="00E82B51">
        <w:rPr>
          <w:rFonts w:ascii="ＭＳ 明朝" w:eastAsia="ＭＳ 明朝" w:hAnsi="ＭＳ 明朝" w:hint="eastAsia"/>
        </w:rPr>
        <w:t>その他入札に関する条件に違反した入札</w:t>
      </w:r>
    </w:p>
    <w:p w14:paraId="65587482" w14:textId="06967B1C" w:rsidR="00E82B51" w:rsidRPr="00E82B51" w:rsidRDefault="00E82B51" w:rsidP="00E82B51">
      <w:pPr>
        <w:tabs>
          <w:tab w:val="left" w:pos="426"/>
        </w:tabs>
        <w:jc w:val="center"/>
        <w:rPr>
          <w:rFonts w:ascii="ＭＳ 明朝" w:eastAsia="ＭＳ 明朝" w:hAnsi="ＭＳ 明朝" w:hint="eastAsia"/>
          <w:sz w:val="28"/>
          <w:szCs w:val="32"/>
        </w:rPr>
      </w:pPr>
      <w:r>
        <w:rPr>
          <w:rFonts w:ascii="ＭＳ 明朝" w:eastAsia="ＭＳ 明朝" w:hAnsi="ＭＳ 明朝" w:hint="eastAsia"/>
          <w:sz w:val="28"/>
          <w:szCs w:val="32"/>
        </w:rPr>
        <w:t>３</w:t>
      </w:r>
      <w:r>
        <w:rPr>
          <w:rFonts w:ascii="ＭＳ 明朝" w:eastAsia="ＭＳ 明朝" w:hAnsi="ＭＳ 明朝" w:hint="eastAsia"/>
          <w:sz w:val="28"/>
          <w:szCs w:val="32"/>
        </w:rPr>
        <w:t xml:space="preserve">　</w:t>
      </w:r>
      <w:r>
        <w:rPr>
          <w:rFonts w:ascii="ＭＳ 明朝" w:eastAsia="ＭＳ 明朝" w:hAnsi="ＭＳ 明朝" w:hint="eastAsia"/>
          <w:sz w:val="28"/>
          <w:szCs w:val="32"/>
        </w:rPr>
        <w:t>落札者の決定</w:t>
      </w:r>
    </w:p>
    <w:p w14:paraId="080EFDFB" w14:textId="300CFD59" w:rsidR="00E82B51" w:rsidRPr="00E82B51" w:rsidRDefault="00E82B51" w:rsidP="00AE0B30">
      <w:pPr>
        <w:tabs>
          <w:tab w:val="left" w:pos="426"/>
        </w:tabs>
        <w:spacing w:line="340" w:lineRule="exact"/>
        <w:rPr>
          <w:rFonts w:ascii="ＭＳ 明朝" w:eastAsia="ＭＳ 明朝" w:hAnsi="ＭＳ 明朝"/>
        </w:rPr>
      </w:pPr>
      <w:r w:rsidRPr="00E82B51">
        <w:rPr>
          <w:rFonts w:ascii="ＭＳ 明朝" w:eastAsia="ＭＳ 明朝" w:hAnsi="ＭＳ 明朝"/>
        </w:rPr>
        <w:t>(1)</w:t>
      </w:r>
      <w:r w:rsidR="00AE0B30">
        <w:rPr>
          <w:rFonts w:ascii="ＭＳ 明朝" w:eastAsia="ＭＳ 明朝" w:hAnsi="ＭＳ 明朝"/>
        </w:rPr>
        <w:tab/>
      </w:r>
      <w:r w:rsidRPr="00E82B51">
        <w:rPr>
          <w:rFonts w:ascii="ＭＳ 明朝" w:eastAsia="ＭＳ 明朝" w:hAnsi="ＭＳ 明朝" w:hint="eastAsia"/>
        </w:rPr>
        <w:t>入札を行った者のうち、予定価格の範囲内で最低の入札をした者を落札者とします。</w:t>
      </w:r>
    </w:p>
    <w:p w14:paraId="1C453549" w14:textId="6634B262" w:rsidR="00E82B51" w:rsidRPr="00E82B51" w:rsidRDefault="00E82B51" w:rsidP="00AE0B30">
      <w:pPr>
        <w:tabs>
          <w:tab w:val="left" w:pos="426"/>
        </w:tabs>
        <w:spacing w:line="340" w:lineRule="exact"/>
        <w:ind w:left="283" w:hangingChars="135" w:hanging="283"/>
        <w:rPr>
          <w:rFonts w:ascii="ＭＳ 明朝" w:eastAsia="ＭＳ 明朝" w:hAnsi="ＭＳ 明朝"/>
        </w:rPr>
      </w:pPr>
      <w:r w:rsidRPr="00E82B51">
        <w:rPr>
          <w:rFonts w:ascii="ＭＳ 明朝" w:eastAsia="ＭＳ 明朝" w:hAnsi="ＭＳ 明朝"/>
        </w:rPr>
        <w:t>(2)</w:t>
      </w:r>
      <w:r w:rsidR="00AE0B30">
        <w:rPr>
          <w:rFonts w:ascii="ＭＳ 明朝" w:eastAsia="ＭＳ 明朝" w:hAnsi="ＭＳ 明朝"/>
        </w:rPr>
        <w:tab/>
      </w:r>
      <w:r w:rsidRPr="00E82B51">
        <w:rPr>
          <w:rFonts w:ascii="ＭＳ 明朝" w:eastAsia="ＭＳ 明朝" w:hAnsi="ＭＳ 明朝" w:hint="eastAsia"/>
        </w:rPr>
        <w:t>ただし、落札者となるべき者の入札価格によっては、その者により当該価格の内容に適合した履行がなされないおそれがあると認められるとき、又は、その者と契約を締結することが、公正な取引の秩序を乱すこととなるおそれがあって、著しく不適当であると認められるときは、その他の者を落札者とすることができます。</w:t>
      </w:r>
    </w:p>
    <w:p w14:paraId="7A0BEF31" w14:textId="4ABBFB84" w:rsidR="00E82B51" w:rsidRPr="00E82B51" w:rsidRDefault="00E82B51" w:rsidP="00E82B51">
      <w:pPr>
        <w:tabs>
          <w:tab w:val="left" w:pos="426"/>
        </w:tabs>
        <w:jc w:val="center"/>
        <w:rPr>
          <w:rFonts w:ascii="ＭＳ 明朝" w:eastAsia="ＭＳ 明朝" w:hAnsi="ＭＳ 明朝" w:hint="eastAsia"/>
          <w:sz w:val="28"/>
          <w:szCs w:val="32"/>
        </w:rPr>
      </w:pPr>
      <w:r>
        <w:rPr>
          <w:rFonts w:ascii="ＭＳ 明朝" w:eastAsia="ＭＳ 明朝" w:hAnsi="ＭＳ 明朝" w:hint="eastAsia"/>
          <w:sz w:val="28"/>
          <w:szCs w:val="32"/>
        </w:rPr>
        <w:t>４</w:t>
      </w:r>
      <w:r>
        <w:rPr>
          <w:rFonts w:ascii="ＭＳ 明朝" w:eastAsia="ＭＳ 明朝" w:hAnsi="ＭＳ 明朝" w:hint="eastAsia"/>
          <w:sz w:val="28"/>
          <w:szCs w:val="32"/>
        </w:rPr>
        <w:t xml:space="preserve">　</w:t>
      </w:r>
      <w:r>
        <w:rPr>
          <w:rFonts w:ascii="ＭＳ 明朝" w:eastAsia="ＭＳ 明朝" w:hAnsi="ＭＳ 明朝" w:hint="eastAsia"/>
          <w:sz w:val="28"/>
          <w:szCs w:val="32"/>
        </w:rPr>
        <w:t>同価格の入札者が２人以上ある場合の落札者の決定</w:t>
      </w:r>
    </w:p>
    <w:p w14:paraId="2619E586" w14:textId="77777777" w:rsidR="00E82B51" w:rsidRPr="00E82B51" w:rsidRDefault="00E82B51" w:rsidP="00AE0B30">
      <w:pPr>
        <w:spacing w:line="340" w:lineRule="exact"/>
        <w:rPr>
          <w:rFonts w:ascii="ＭＳ 明朝" w:eastAsia="ＭＳ 明朝" w:hAnsi="ＭＳ 明朝"/>
        </w:rPr>
      </w:pPr>
      <w:r w:rsidRPr="00E82B51">
        <w:rPr>
          <w:rFonts w:ascii="ＭＳ 明朝" w:eastAsia="ＭＳ 明朝" w:hAnsi="ＭＳ 明朝" w:hint="eastAsia"/>
        </w:rPr>
        <w:t xml:space="preserve">　落札となるべき同価格の入札をした者が２人以上あるときは、ただちに当該入札をした者にくじを引かせて落札者を決定します。　当該入札をした者のうち、くじを引かない者があるときは、これに代わって入札事務に関係のない職員にくじを引かせます。</w:t>
      </w:r>
    </w:p>
    <w:sectPr w:rsidR="00E82B51" w:rsidRPr="00E82B51" w:rsidSect="00E82B51">
      <w:pgSz w:w="11906" w:h="16838"/>
      <w:pgMar w:top="1077" w:right="1077" w:bottom="90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A9"/>
    <w:rsid w:val="00100CA5"/>
    <w:rsid w:val="00326928"/>
    <w:rsid w:val="007E75A9"/>
    <w:rsid w:val="008353A5"/>
    <w:rsid w:val="00AA69E1"/>
    <w:rsid w:val="00AE0B30"/>
    <w:rsid w:val="00B16E56"/>
    <w:rsid w:val="00E82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3605F"/>
  <w15:chartTrackingRefBased/>
  <w15:docId w15:val="{29C991C4-1108-4C9C-9C52-0EFCF7A1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75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75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75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75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75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75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75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75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75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75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75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75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75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75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75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75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75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75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75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7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5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7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5A9"/>
    <w:pPr>
      <w:spacing w:before="160" w:after="160"/>
      <w:jc w:val="center"/>
    </w:pPr>
    <w:rPr>
      <w:i/>
      <w:iCs/>
      <w:color w:val="404040" w:themeColor="text1" w:themeTint="BF"/>
    </w:rPr>
  </w:style>
  <w:style w:type="character" w:customStyle="1" w:styleId="a8">
    <w:name w:val="引用文 (文字)"/>
    <w:basedOn w:val="a0"/>
    <w:link w:val="a7"/>
    <w:uiPriority w:val="29"/>
    <w:rsid w:val="007E75A9"/>
    <w:rPr>
      <w:i/>
      <w:iCs/>
      <w:color w:val="404040" w:themeColor="text1" w:themeTint="BF"/>
    </w:rPr>
  </w:style>
  <w:style w:type="paragraph" w:styleId="a9">
    <w:name w:val="List Paragraph"/>
    <w:basedOn w:val="a"/>
    <w:uiPriority w:val="34"/>
    <w:qFormat/>
    <w:rsid w:val="007E75A9"/>
    <w:pPr>
      <w:ind w:left="720"/>
      <w:contextualSpacing/>
    </w:pPr>
  </w:style>
  <w:style w:type="character" w:styleId="21">
    <w:name w:val="Intense Emphasis"/>
    <w:basedOn w:val="a0"/>
    <w:uiPriority w:val="21"/>
    <w:qFormat/>
    <w:rsid w:val="007E75A9"/>
    <w:rPr>
      <w:i/>
      <w:iCs/>
      <w:color w:val="2E74B5" w:themeColor="accent1" w:themeShade="BF"/>
    </w:rPr>
  </w:style>
  <w:style w:type="paragraph" w:styleId="22">
    <w:name w:val="Intense Quote"/>
    <w:basedOn w:val="a"/>
    <w:next w:val="a"/>
    <w:link w:val="23"/>
    <w:uiPriority w:val="30"/>
    <w:qFormat/>
    <w:rsid w:val="007E75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E75A9"/>
    <w:rPr>
      <w:i/>
      <w:iCs/>
      <w:color w:val="2E74B5" w:themeColor="accent1" w:themeShade="BF"/>
    </w:rPr>
  </w:style>
  <w:style w:type="character" w:styleId="24">
    <w:name w:val="Intense Reference"/>
    <w:basedOn w:val="a0"/>
    <w:uiPriority w:val="32"/>
    <w:qFormat/>
    <w:rsid w:val="007E75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69</TotalTime>
  <Pages>1</Pages>
  <Words>184</Words>
  <Characters>1053</Characters>
  <DocSecurity>0</DocSecurity>
  <Lines>8</Lines>
  <Paragraphs>2</Paragraphs>
  <ScaleCrop>false</ScaleCrop>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2026-02-17T03:55:00Z</cp:lastPrinted>
  <dcterms:created xsi:type="dcterms:W3CDTF">2026-02-17T03:55:00Z</dcterms:created>
  <dcterms:modified xsi:type="dcterms:W3CDTF">2026-02-17T05:04:00Z</dcterms:modified>
</cp:coreProperties>
</file>